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73ED" w14:textId="2C803300" w:rsidR="00F00C3A" w:rsidRPr="00F00C3A" w:rsidRDefault="00F00C3A" w:rsidP="00F00C3A">
      <w:pPr>
        <w:jc w:val="center"/>
        <w:rPr>
          <w:rFonts w:ascii="Cambria" w:eastAsia="Cambria" w:hAnsi="Cambria" w:cs="Cambria"/>
          <w:b/>
          <w:bCs/>
          <w:sz w:val="36"/>
        </w:rPr>
      </w:pPr>
      <w:r w:rsidRPr="00F00C3A">
        <w:rPr>
          <w:rFonts w:ascii="Cambria" w:eastAsia="Cambria" w:hAnsi="Cambria" w:cs="Cambria"/>
          <w:b/>
          <w:bCs/>
          <w:sz w:val="36"/>
        </w:rPr>
        <w:t>Szkolenie pt.</w:t>
      </w:r>
      <w:r w:rsidRPr="00F00C3A">
        <w:rPr>
          <w:rFonts w:ascii="Cambria" w:eastAsia="Cambria" w:hAnsi="Cambria" w:cs="Cambria"/>
          <w:b/>
          <w:bCs/>
          <w:sz w:val="36"/>
        </w:rPr>
        <w:br/>
      </w:r>
      <w:r w:rsidRPr="00F00C3A">
        <w:rPr>
          <w:rFonts w:ascii="Cambria" w:eastAsia="Cambria" w:hAnsi="Cambria" w:cs="Cambria"/>
          <w:b/>
          <w:bCs/>
          <w:i/>
          <w:sz w:val="36"/>
        </w:rPr>
        <w:t>„</w:t>
      </w:r>
      <w:r>
        <w:rPr>
          <w:rFonts w:ascii="Cambria" w:eastAsia="Cambria" w:hAnsi="Cambria" w:cs="Cambria"/>
          <w:b/>
          <w:bCs/>
          <w:i/>
          <w:sz w:val="36"/>
        </w:rPr>
        <w:t>Prawo Pracy w pigułce</w:t>
      </w:r>
      <w:r w:rsidRPr="00F00C3A">
        <w:rPr>
          <w:rFonts w:ascii="Cambria" w:eastAsia="Cambria" w:hAnsi="Cambria" w:cs="Cambria"/>
          <w:b/>
          <w:bCs/>
          <w:i/>
          <w:sz w:val="36"/>
        </w:rPr>
        <w:t>”</w:t>
      </w:r>
      <w:bookmarkStart w:id="0" w:name="_GoBack"/>
      <w:bookmarkEnd w:id="0"/>
    </w:p>
    <w:p w14:paraId="0D84119C" w14:textId="77777777" w:rsidR="00F00C3A" w:rsidRPr="00F00C3A" w:rsidRDefault="00F00C3A" w:rsidP="00F00C3A">
      <w:pPr>
        <w:jc w:val="center"/>
        <w:rPr>
          <w:rFonts w:ascii="Cambria" w:eastAsia="Cambria" w:hAnsi="Cambria" w:cs="Cambria"/>
          <w:b/>
          <w:bCs/>
        </w:rPr>
      </w:pPr>
    </w:p>
    <w:tbl>
      <w:tblPr>
        <w:tblStyle w:val="Tabela-Siatka1"/>
        <w:tblW w:w="9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35"/>
      </w:tblGrid>
      <w:tr w:rsidR="00F00C3A" w:rsidRPr="00F00C3A" w14:paraId="35849FFA" w14:textId="77777777" w:rsidTr="002E0464">
        <w:trPr>
          <w:trHeight w:val="425"/>
          <w:jc w:val="center"/>
        </w:trPr>
        <w:tc>
          <w:tcPr>
            <w:tcW w:w="1555" w:type="dxa"/>
          </w:tcPr>
          <w:p w14:paraId="1EA43E3A" w14:textId="77777777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Organizator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:</w:t>
            </w:r>
          </w:p>
        </w:tc>
        <w:tc>
          <w:tcPr>
            <w:tcW w:w="7735" w:type="dxa"/>
          </w:tcPr>
          <w:p w14:paraId="1DF40586" w14:textId="77777777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b/>
                <w:bCs/>
                <w:lang w:val="en-US"/>
              </w:rPr>
            </w:pP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Lokalny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Punkt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Informacyjny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Funduszy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Europejskich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w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Inowrocławiu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oraz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Biuro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Obsługi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Inwestorów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Urzędu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Miasta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Inowrocławia</w:t>
            </w:r>
            <w:proofErr w:type="spellEnd"/>
          </w:p>
        </w:tc>
      </w:tr>
      <w:tr w:rsidR="00F00C3A" w:rsidRPr="00F00C3A" w14:paraId="4183FBD5" w14:textId="77777777" w:rsidTr="002E0464">
        <w:trPr>
          <w:trHeight w:val="578"/>
          <w:jc w:val="center"/>
        </w:trPr>
        <w:tc>
          <w:tcPr>
            <w:tcW w:w="1555" w:type="dxa"/>
          </w:tcPr>
          <w:p w14:paraId="3BF9F96F" w14:textId="0EE5FB4B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br/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Termin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:</w:t>
            </w:r>
          </w:p>
        </w:tc>
        <w:tc>
          <w:tcPr>
            <w:tcW w:w="7735" w:type="dxa"/>
          </w:tcPr>
          <w:p w14:paraId="7FE2F954" w14:textId="27E62651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br/>
            </w:r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25 </w:t>
            </w: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kwietnia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 xml:space="preserve"> 2019 r.</w:t>
            </w:r>
          </w:p>
        </w:tc>
      </w:tr>
      <w:tr w:rsidR="00F00C3A" w:rsidRPr="00F00C3A" w14:paraId="42A53540" w14:textId="77777777" w:rsidTr="002E0464">
        <w:trPr>
          <w:trHeight w:val="451"/>
          <w:jc w:val="center"/>
        </w:trPr>
        <w:tc>
          <w:tcPr>
            <w:tcW w:w="1555" w:type="dxa"/>
          </w:tcPr>
          <w:p w14:paraId="7F60FF01" w14:textId="77777777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Godziny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:</w:t>
            </w:r>
          </w:p>
        </w:tc>
        <w:tc>
          <w:tcPr>
            <w:tcW w:w="7735" w:type="dxa"/>
          </w:tcPr>
          <w:p w14:paraId="4723C764" w14:textId="77777777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lang w:val="en-US"/>
              </w:rPr>
            </w:pPr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9:00 - 14:30</w:t>
            </w:r>
          </w:p>
        </w:tc>
      </w:tr>
      <w:tr w:rsidR="00F00C3A" w:rsidRPr="00F00C3A" w14:paraId="73A56FC7" w14:textId="77777777" w:rsidTr="002E0464">
        <w:trPr>
          <w:trHeight w:val="451"/>
          <w:jc w:val="center"/>
        </w:trPr>
        <w:tc>
          <w:tcPr>
            <w:tcW w:w="1555" w:type="dxa"/>
          </w:tcPr>
          <w:p w14:paraId="56F89DA2" w14:textId="77777777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Miejsce</w:t>
            </w:r>
            <w:proofErr w:type="spellEnd"/>
            <w:r w:rsidRPr="00F00C3A">
              <w:rPr>
                <w:rFonts w:ascii="Cambria" w:eastAsia="Cambria" w:hAnsi="Cambria" w:cs="Cambria"/>
                <w:b/>
                <w:bCs/>
                <w:lang w:val="en-US"/>
              </w:rPr>
              <w:t>:</w:t>
            </w:r>
          </w:p>
        </w:tc>
        <w:tc>
          <w:tcPr>
            <w:tcW w:w="7735" w:type="dxa"/>
          </w:tcPr>
          <w:p w14:paraId="1AC43156" w14:textId="77777777" w:rsidR="00F00C3A" w:rsidRPr="00F00C3A" w:rsidRDefault="00F00C3A" w:rsidP="00F00C3A">
            <w:pPr>
              <w:widowControl w:val="0"/>
              <w:rPr>
                <w:rFonts w:ascii="Cambria" w:eastAsia="Cambria" w:hAnsi="Cambria" w:cs="Cambria"/>
                <w:b/>
                <w:lang w:val="en-US"/>
              </w:rPr>
            </w:pP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Lokalny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Punkt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Informacyjny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Funduszy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Europejskich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r w:rsidRPr="00F00C3A">
              <w:rPr>
                <w:rFonts w:ascii="Cambria" w:eastAsia="Cambria" w:hAnsi="Cambria" w:cs="Cambria"/>
                <w:b/>
                <w:lang w:val="en-US"/>
              </w:rPr>
              <w:br/>
              <w:t xml:space="preserve">w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Inowrocławiu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, ul.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Aleja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Niepodległości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4; II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piętro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</w:t>
            </w:r>
            <w:proofErr w:type="spellStart"/>
            <w:r w:rsidRPr="00F00C3A">
              <w:rPr>
                <w:rFonts w:ascii="Cambria" w:eastAsia="Cambria" w:hAnsi="Cambria" w:cs="Cambria"/>
                <w:b/>
                <w:lang w:val="en-US"/>
              </w:rPr>
              <w:t>sala</w:t>
            </w:r>
            <w:proofErr w:type="spellEnd"/>
            <w:r w:rsidRPr="00F00C3A">
              <w:rPr>
                <w:rFonts w:ascii="Cambria" w:eastAsia="Cambria" w:hAnsi="Cambria" w:cs="Cambria"/>
                <w:b/>
                <w:lang w:val="en-US"/>
              </w:rPr>
              <w:t xml:space="preserve"> nr 227</w:t>
            </w:r>
          </w:p>
        </w:tc>
      </w:tr>
    </w:tbl>
    <w:p w14:paraId="2CBE26B2" w14:textId="77777777" w:rsidR="00F00C3A" w:rsidRPr="00F00C3A" w:rsidRDefault="00F00C3A" w:rsidP="00F00C3A">
      <w:pPr>
        <w:widowControl w:val="0"/>
        <w:spacing w:before="5" w:after="0" w:line="240" w:lineRule="auto"/>
        <w:rPr>
          <w:rFonts w:ascii="Cambria" w:eastAsia="Cambria" w:hAnsi="Cambria" w:cs="Cambria"/>
          <w:b/>
          <w:bCs/>
          <w:sz w:val="26"/>
          <w:szCs w:val="28"/>
        </w:rPr>
      </w:pPr>
    </w:p>
    <w:tbl>
      <w:tblPr>
        <w:tblStyle w:val="TableNormal"/>
        <w:tblW w:w="0" w:type="auto"/>
        <w:jc w:val="center"/>
        <w:tblCellSpacing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7987"/>
      </w:tblGrid>
      <w:tr w:rsidR="00F00C3A" w:rsidRPr="00F00C3A" w14:paraId="41E79C37" w14:textId="77777777" w:rsidTr="002E0464">
        <w:trPr>
          <w:trHeight w:hRule="exact" w:val="862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15DF48D1" w14:textId="77777777" w:rsidR="00F00C3A" w:rsidRPr="00F00C3A" w:rsidRDefault="00F00C3A" w:rsidP="00F00C3A">
            <w:pPr>
              <w:ind w:left="113" w:right="113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9:00 – 9:05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31F93EB6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Rejestracja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uczestników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</w:p>
        </w:tc>
      </w:tr>
      <w:tr w:rsidR="00F00C3A" w:rsidRPr="00F00C3A" w14:paraId="3189271A" w14:textId="77777777" w:rsidTr="002E0464">
        <w:trPr>
          <w:trHeight w:hRule="exact" w:val="835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6D60CA7C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9:05 – 9:25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3544F574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Twój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krok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do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przyszłości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–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Fundusze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europejskie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na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założenie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działalności</w:t>
            </w:r>
            <w:proofErr w:type="spellEnd"/>
          </w:p>
        </w:tc>
      </w:tr>
      <w:tr w:rsidR="00F00C3A" w:rsidRPr="00F00C3A" w14:paraId="4955095F" w14:textId="77777777" w:rsidTr="002E0464">
        <w:trPr>
          <w:trHeight w:hRule="exact" w:val="678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75ADE09E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 xml:space="preserve">10:25 – 10:45 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2A8EF4E0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Możliwości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dla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rozwoju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przedsiębiorczości</w:t>
            </w:r>
            <w:proofErr w:type="spellEnd"/>
          </w:p>
        </w:tc>
      </w:tr>
      <w:tr w:rsidR="00F00C3A" w:rsidRPr="00F00C3A" w14:paraId="5D433CD1" w14:textId="77777777" w:rsidTr="002E0464">
        <w:trPr>
          <w:trHeight w:hRule="exact" w:val="692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5E554CBD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10:45 – 11:30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096DD697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Regionalny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Fundusz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Szkoleniowy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</w:p>
          <w:p w14:paraId="55CE0FDC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–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jak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pozyskać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wsparcie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na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szkolenia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dla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pracowników</w:t>
            </w:r>
            <w:proofErr w:type="spellEnd"/>
          </w:p>
        </w:tc>
      </w:tr>
      <w:tr w:rsidR="00F00C3A" w:rsidRPr="00F00C3A" w14:paraId="2955B5FE" w14:textId="77777777" w:rsidTr="002E0464">
        <w:trPr>
          <w:trHeight w:hRule="exact" w:val="673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77810C38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11:30 – 11:45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2CBEA892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Oferta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Inwestycyjna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Miasta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Inowrocławia</w:t>
            </w:r>
            <w:proofErr w:type="spellEnd"/>
          </w:p>
        </w:tc>
      </w:tr>
      <w:tr w:rsidR="00F00C3A" w:rsidRPr="00F00C3A" w14:paraId="3C7DC5A7" w14:textId="77777777" w:rsidTr="002E0464">
        <w:trPr>
          <w:trHeight w:hRule="exact" w:val="698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583399A7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 xml:space="preserve"> 11:45 – 12:00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4E9A8757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</w:p>
          <w:p w14:paraId="1946EF1F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Przerwa</w:t>
            </w:r>
            <w:proofErr w:type="spellEnd"/>
          </w:p>
          <w:p w14:paraId="51503BEC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</w:p>
          <w:p w14:paraId="0E17A767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</w:p>
        </w:tc>
      </w:tr>
      <w:tr w:rsidR="00F00C3A" w:rsidRPr="00F00C3A" w14:paraId="5271B2C5" w14:textId="77777777" w:rsidTr="002E0464">
        <w:trPr>
          <w:trHeight w:hRule="exact" w:val="680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40146A17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12:00 – 14:00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6A36C6B3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Prawo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pracy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 </w:t>
            </w:r>
          </w:p>
        </w:tc>
      </w:tr>
      <w:tr w:rsidR="00F00C3A" w:rsidRPr="00F00C3A" w14:paraId="5C74A29E" w14:textId="77777777" w:rsidTr="002E0464">
        <w:trPr>
          <w:trHeight w:hRule="exact" w:val="845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6EE3FF10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14:00 – 14:10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3BBCFE4D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Źródła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informacji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o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Funduszach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Europejskich</w:t>
            </w:r>
            <w:proofErr w:type="spellEnd"/>
          </w:p>
        </w:tc>
      </w:tr>
      <w:tr w:rsidR="00F00C3A" w:rsidRPr="00F00C3A" w14:paraId="42F0F933" w14:textId="77777777" w:rsidTr="002E0464">
        <w:trPr>
          <w:trHeight w:hRule="exact" w:val="688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018F6EA7" w14:textId="77777777" w:rsidR="00F00C3A" w:rsidRPr="00F00C3A" w:rsidRDefault="00F00C3A" w:rsidP="00F00C3A">
            <w:pPr>
              <w:ind w:right="113"/>
              <w:jc w:val="center"/>
              <w:rPr>
                <w:rFonts w:ascii="Calibri" w:eastAsia="Cambria" w:hAnsi="Calibri" w:cs="Cambria"/>
                <w:b/>
                <w:color w:val="FFFFFF"/>
                <w:sz w:val="24"/>
                <w:szCs w:val="24"/>
                <w:highlight w:val="yellow"/>
              </w:rPr>
            </w:pPr>
            <w:r w:rsidRPr="00F00C3A">
              <w:rPr>
                <w:rFonts w:ascii="Calibri" w:eastAsia="Cambria" w:hAnsi="Calibri" w:cs="Cambria"/>
                <w:b/>
                <w:color w:val="FFFFFF"/>
                <w:sz w:val="24"/>
                <w:szCs w:val="24"/>
              </w:rPr>
              <w:t>14:10 – 14:30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7694BBAE" w14:textId="77777777" w:rsidR="00F00C3A" w:rsidRPr="00F00C3A" w:rsidRDefault="00F00C3A" w:rsidP="00F00C3A">
            <w:pPr>
              <w:jc w:val="center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Konsultacje</w:t>
            </w:r>
            <w:proofErr w:type="spellEnd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F00C3A">
              <w:rPr>
                <w:rFonts w:ascii="Calibri" w:eastAsia="Cambria" w:hAnsi="Calibri" w:cs="Cambria"/>
                <w:b/>
                <w:sz w:val="24"/>
                <w:szCs w:val="24"/>
              </w:rPr>
              <w:t>indywidualne</w:t>
            </w:r>
            <w:proofErr w:type="spellEnd"/>
          </w:p>
        </w:tc>
      </w:tr>
    </w:tbl>
    <w:p w14:paraId="3194E9A0" w14:textId="77777777" w:rsidR="00F00C3A" w:rsidRPr="00F00C3A" w:rsidRDefault="00F00C3A" w:rsidP="00F00C3A">
      <w:pPr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8"/>
        </w:rPr>
      </w:pPr>
    </w:p>
    <w:p w14:paraId="38D37FA2" w14:textId="77777777" w:rsidR="00F00C3A" w:rsidRPr="00F00C3A" w:rsidRDefault="00F00C3A" w:rsidP="00F00C3A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0"/>
          <w:szCs w:val="28"/>
        </w:rPr>
      </w:pPr>
    </w:p>
    <w:p w14:paraId="24D441E5" w14:textId="77777777" w:rsidR="00F00C3A" w:rsidRPr="00F00C3A" w:rsidRDefault="00F00C3A" w:rsidP="00F00C3A">
      <w:pPr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8"/>
        </w:rPr>
      </w:pPr>
    </w:p>
    <w:p w14:paraId="7DF0B213" w14:textId="77777777" w:rsidR="00F00C3A" w:rsidRPr="00F00C3A" w:rsidRDefault="00F00C3A" w:rsidP="00F00C3A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0"/>
          <w:szCs w:val="28"/>
        </w:rPr>
      </w:pPr>
      <w:r w:rsidRPr="00F00C3A">
        <w:rPr>
          <w:rFonts w:ascii="Cambria" w:eastAsia="Cambria" w:hAnsi="Cambria" w:cs="Cambria"/>
          <w:b/>
          <w:bCs/>
          <w:sz w:val="20"/>
          <w:szCs w:val="28"/>
        </w:rPr>
        <w:t>Organizator zastrzega sobie prawo do zmiany programu</w:t>
      </w:r>
    </w:p>
    <w:p w14:paraId="15EC7279" w14:textId="77777777" w:rsidR="00F00C3A" w:rsidRPr="00F00C3A" w:rsidRDefault="00F00C3A" w:rsidP="00F00C3A">
      <w:pPr>
        <w:widowControl w:val="0"/>
        <w:spacing w:before="7" w:after="0" w:line="240" w:lineRule="auto"/>
        <w:rPr>
          <w:rFonts w:ascii="Cambria" w:eastAsia="Cambria" w:hAnsi="Cambria" w:cs="Cambria"/>
          <w:b/>
          <w:bCs/>
          <w:sz w:val="26"/>
          <w:szCs w:val="28"/>
        </w:rPr>
      </w:pPr>
    </w:p>
    <w:p w14:paraId="2AF05144" w14:textId="77777777" w:rsidR="00F00C3A" w:rsidRPr="00F00C3A" w:rsidRDefault="00F00C3A" w:rsidP="00F00C3A">
      <w:pPr>
        <w:widowControl w:val="0"/>
        <w:spacing w:before="56" w:after="0" w:line="278" w:lineRule="auto"/>
        <w:ind w:right="1998"/>
        <w:rPr>
          <w:rFonts w:ascii="Cambria" w:eastAsia="Cambria" w:hAnsi="Cambria" w:cs="Cambria"/>
        </w:rPr>
      </w:pPr>
    </w:p>
    <w:p w14:paraId="606A7837" w14:textId="77777777" w:rsidR="00F00C3A" w:rsidRPr="00F00C3A" w:rsidRDefault="00F00C3A" w:rsidP="00F00C3A">
      <w:pPr>
        <w:widowControl w:val="0"/>
        <w:tabs>
          <w:tab w:val="center" w:pos="5386"/>
        </w:tabs>
        <w:spacing w:before="56" w:after="0" w:line="278" w:lineRule="auto"/>
        <w:ind w:left="142" w:right="57" w:hanging="142"/>
        <w:jc w:val="center"/>
        <w:rPr>
          <w:rFonts w:ascii="Cambria" w:eastAsia="Cambria" w:hAnsi="Cambria" w:cs="Cambria"/>
          <w:sz w:val="18"/>
        </w:rPr>
      </w:pPr>
    </w:p>
    <w:p w14:paraId="269F9DDB" w14:textId="77777777" w:rsidR="00A57ED0" w:rsidRDefault="00A57ED0"/>
    <w:sectPr w:rsidR="00A5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53"/>
    <w:rsid w:val="00760C53"/>
    <w:rsid w:val="00A57ED0"/>
    <w:rsid w:val="00F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C106"/>
  <w15:chartTrackingRefBased/>
  <w15:docId w15:val="{4610CED9-A9EC-41CB-9E5F-01AFF2A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C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0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Boin</dc:creator>
  <cp:keywords/>
  <dc:description/>
  <cp:lastModifiedBy>Boin</cp:lastModifiedBy>
  <cp:revision>2</cp:revision>
  <dcterms:created xsi:type="dcterms:W3CDTF">2019-04-16T06:35:00Z</dcterms:created>
  <dcterms:modified xsi:type="dcterms:W3CDTF">2019-04-16T06:38:00Z</dcterms:modified>
</cp:coreProperties>
</file>